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90C5" w14:textId="77777777" w:rsidR="0061386B" w:rsidRPr="0061386B" w:rsidRDefault="0061386B" w:rsidP="0061386B">
      <w:pPr>
        <w:rPr>
          <w:b/>
          <w:bCs/>
        </w:rPr>
      </w:pPr>
      <w:r w:rsidRPr="0061386B">
        <w:rPr>
          <w:b/>
          <w:bCs/>
        </w:rPr>
        <w:t>Trust Accounting Red Flag Checklist</w:t>
      </w:r>
    </w:p>
    <w:p w14:paraId="3281848C" w14:textId="77777777" w:rsidR="0061386B" w:rsidRPr="0061386B" w:rsidRDefault="0061386B" w:rsidP="0061386B">
      <w:r w:rsidRPr="0061386B">
        <w:t>A compliance and risk assessment tool for law firms to identify disciplinary exposure, reconciliation gaps, and internal control weaknesses.</w:t>
      </w:r>
    </w:p>
    <w:p w14:paraId="2DC6C46E" w14:textId="77777777" w:rsidR="0061386B" w:rsidRPr="0061386B" w:rsidRDefault="0061386B" w:rsidP="0061386B">
      <w:r w:rsidRPr="0061386B">
        <w:pict w14:anchorId="5A2507DB">
          <v:rect id="_x0000_i1067" style="width:0;height:1.5pt" o:hralign="center" o:hrstd="t" o:hr="t" fillcolor="#a0a0a0" stroked="f"/>
        </w:pict>
      </w:r>
    </w:p>
    <w:p w14:paraId="3D6A7412" w14:textId="77777777" w:rsidR="0061386B" w:rsidRPr="0061386B" w:rsidRDefault="0061386B" w:rsidP="0061386B">
      <w:pPr>
        <w:rPr>
          <w:b/>
          <w:bCs/>
        </w:rPr>
      </w:pPr>
      <w:r w:rsidRPr="0061386B">
        <w:rPr>
          <w:b/>
          <w:bCs/>
        </w:rPr>
        <w:t>Introduction</w:t>
      </w:r>
    </w:p>
    <w:p w14:paraId="37F3B4A6" w14:textId="77777777" w:rsidR="0061386B" w:rsidRPr="0061386B" w:rsidRDefault="0061386B" w:rsidP="0061386B">
      <w:r w:rsidRPr="0061386B">
        <w:t>Trust accounting errors remain one of the most common causes of disciplinary action for law firms. This checklist helps managing partners, office managers, and administrators quickly assess their current level of exposure. Review each item and mark whether it applies to your firm to identify where immediate remediation may be required.</w:t>
      </w:r>
    </w:p>
    <w:p w14:paraId="1B66238B" w14:textId="77777777" w:rsidR="0061386B" w:rsidRPr="0061386B" w:rsidRDefault="0061386B" w:rsidP="0061386B">
      <w:r w:rsidRPr="0061386B">
        <w:pict w14:anchorId="59AB424F">
          <v:rect id="_x0000_i1068" style="width:0;height:1.5pt" o:hralign="center" o:hrstd="t" o:hr="t" fillcolor="#a0a0a0" stroked="f"/>
        </w:pict>
      </w:r>
    </w:p>
    <w:p w14:paraId="386E39CD" w14:textId="77777777" w:rsidR="0061386B" w:rsidRPr="0061386B" w:rsidRDefault="0061386B" w:rsidP="0061386B">
      <w:pPr>
        <w:rPr>
          <w:b/>
          <w:bCs/>
        </w:rPr>
      </w:pPr>
      <w:r w:rsidRPr="0061386B">
        <w:rPr>
          <w:b/>
          <w:bCs/>
        </w:rPr>
        <w:t>Segregation of Funds</w:t>
      </w:r>
    </w:p>
    <w:p w14:paraId="77AC510D" w14:textId="77777777" w:rsidR="0061386B" w:rsidRPr="0061386B" w:rsidRDefault="0061386B" w:rsidP="0061386B">
      <w:pPr>
        <w:numPr>
          <w:ilvl w:val="0"/>
          <w:numId w:val="22"/>
        </w:numPr>
      </w:pPr>
      <w:r w:rsidRPr="0061386B">
        <w:t>Client funds are ever held in the operating account.</w:t>
      </w:r>
    </w:p>
    <w:p w14:paraId="28AE48EC" w14:textId="77777777" w:rsidR="0061386B" w:rsidRPr="0061386B" w:rsidRDefault="0061386B" w:rsidP="0061386B">
      <w:pPr>
        <w:numPr>
          <w:ilvl w:val="0"/>
          <w:numId w:val="22"/>
        </w:numPr>
      </w:pPr>
      <w:r w:rsidRPr="0061386B">
        <w:t xml:space="preserve">Trust and operating funds are not clearly separated </w:t>
      </w:r>
      <w:proofErr w:type="gramStart"/>
      <w:r w:rsidRPr="0061386B">
        <w:t>in</w:t>
      </w:r>
      <w:proofErr w:type="gramEnd"/>
      <w:r w:rsidRPr="0061386B">
        <w:t xml:space="preserve"> the accounting system.</w:t>
      </w:r>
    </w:p>
    <w:p w14:paraId="41306079" w14:textId="77777777" w:rsidR="0061386B" w:rsidRPr="0061386B" w:rsidRDefault="0061386B" w:rsidP="0061386B">
      <w:pPr>
        <w:numPr>
          <w:ilvl w:val="0"/>
          <w:numId w:val="22"/>
        </w:numPr>
      </w:pPr>
      <w:r w:rsidRPr="0061386B">
        <w:t>Retainers are not deposited into the trust account before being earned.</w:t>
      </w:r>
    </w:p>
    <w:p w14:paraId="77F1DA85" w14:textId="77777777" w:rsidR="0061386B" w:rsidRPr="0061386B" w:rsidRDefault="0061386B" w:rsidP="0061386B">
      <w:pPr>
        <w:numPr>
          <w:ilvl w:val="0"/>
          <w:numId w:val="22"/>
        </w:numPr>
      </w:pPr>
      <w:r w:rsidRPr="0061386B">
        <w:t>Refunds of unearned retainers are not processed promptly.</w:t>
      </w:r>
    </w:p>
    <w:p w14:paraId="145914FC" w14:textId="77777777" w:rsidR="0061386B" w:rsidRPr="0061386B" w:rsidRDefault="0061386B" w:rsidP="0061386B">
      <w:pPr>
        <w:numPr>
          <w:ilvl w:val="0"/>
          <w:numId w:val="22"/>
        </w:numPr>
      </w:pPr>
      <w:r w:rsidRPr="0061386B">
        <w:t>There is no written policy governing trust fund handling.</w:t>
      </w:r>
    </w:p>
    <w:p w14:paraId="3886B3FB" w14:textId="77777777" w:rsidR="0061386B" w:rsidRPr="0061386B" w:rsidRDefault="0061386B" w:rsidP="0061386B">
      <w:r w:rsidRPr="0061386B">
        <w:pict w14:anchorId="1A1BC42B">
          <v:rect id="_x0000_i1069" style="width:0;height:1.5pt" o:hralign="center" o:hrstd="t" o:hr="t" fillcolor="#a0a0a0" stroked="f"/>
        </w:pict>
      </w:r>
    </w:p>
    <w:p w14:paraId="22B37303" w14:textId="77777777" w:rsidR="0061386B" w:rsidRPr="0061386B" w:rsidRDefault="0061386B" w:rsidP="0061386B">
      <w:pPr>
        <w:rPr>
          <w:b/>
          <w:bCs/>
        </w:rPr>
      </w:pPr>
      <w:r w:rsidRPr="0061386B">
        <w:rPr>
          <w:b/>
          <w:bCs/>
        </w:rPr>
        <w:t>Reconciliations</w:t>
      </w:r>
    </w:p>
    <w:p w14:paraId="594FF0DC" w14:textId="77777777" w:rsidR="0061386B" w:rsidRPr="0061386B" w:rsidRDefault="0061386B" w:rsidP="0061386B">
      <w:pPr>
        <w:numPr>
          <w:ilvl w:val="0"/>
          <w:numId w:val="22"/>
        </w:numPr>
        <w:tabs>
          <w:tab w:val="num" w:pos="720"/>
        </w:tabs>
      </w:pPr>
      <w:r w:rsidRPr="0061386B">
        <w:t>Three-way reconciliations are not performed monthly.</w:t>
      </w:r>
    </w:p>
    <w:p w14:paraId="6AD81FA8" w14:textId="77777777" w:rsidR="0061386B" w:rsidRPr="0061386B" w:rsidRDefault="0061386B" w:rsidP="0061386B">
      <w:pPr>
        <w:numPr>
          <w:ilvl w:val="0"/>
          <w:numId w:val="22"/>
        </w:numPr>
        <w:tabs>
          <w:tab w:val="num" w:pos="720"/>
        </w:tabs>
      </w:pPr>
      <w:r w:rsidRPr="0061386B">
        <w:t>Reconciliations are performed by the same person who handles deposits or disbursements.</w:t>
      </w:r>
    </w:p>
    <w:p w14:paraId="004353EA" w14:textId="77777777" w:rsidR="0061386B" w:rsidRPr="0061386B" w:rsidRDefault="0061386B" w:rsidP="0061386B">
      <w:pPr>
        <w:numPr>
          <w:ilvl w:val="0"/>
          <w:numId w:val="22"/>
        </w:numPr>
        <w:tabs>
          <w:tab w:val="num" w:pos="720"/>
        </w:tabs>
      </w:pPr>
      <w:r w:rsidRPr="0061386B">
        <w:t>Reconciliation reports are not reviewed or approved by a partner.</w:t>
      </w:r>
    </w:p>
    <w:p w14:paraId="31F6F06E" w14:textId="77777777" w:rsidR="0061386B" w:rsidRPr="0061386B" w:rsidRDefault="0061386B" w:rsidP="0061386B">
      <w:pPr>
        <w:numPr>
          <w:ilvl w:val="0"/>
          <w:numId w:val="22"/>
        </w:numPr>
        <w:tabs>
          <w:tab w:val="num" w:pos="720"/>
        </w:tabs>
      </w:pPr>
      <w:r w:rsidRPr="0061386B">
        <w:t>Stale balances remain on client ledgers with no explanation.</w:t>
      </w:r>
    </w:p>
    <w:p w14:paraId="69727D2F" w14:textId="77777777" w:rsidR="0061386B" w:rsidRPr="0061386B" w:rsidRDefault="0061386B" w:rsidP="0061386B">
      <w:pPr>
        <w:numPr>
          <w:ilvl w:val="0"/>
          <w:numId w:val="22"/>
        </w:numPr>
        <w:tabs>
          <w:tab w:val="num" w:pos="720"/>
        </w:tabs>
      </w:pPr>
      <w:r w:rsidRPr="0061386B">
        <w:t>There is no audit trail for adjustments or corrections.</w:t>
      </w:r>
    </w:p>
    <w:p w14:paraId="68395867" w14:textId="77777777" w:rsidR="0061386B" w:rsidRPr="0061386B" w:rsidRDefault="0061386B" w:rsidP="0061386B">
      <w:r w:rsidRPr="0061386B">
        <w:pict w14:anchorId="36415593">
          <v:rect id="_x0000_i1070" style="width:0;height:1.5pt" o:hralign="center" o:hrstd="t" o:hr="t" fillcolor="#a0a0a0" stroked="f"/>
        </w:pict>
      </w:r>
    </w:p>
    <w:p w14:paraId="7B014992" w14:textId="77777777" w:rsidR="0061386B" w:rsidRPr="0061386B" w:rsidRDefault="0061386B" w:rsidP="0061386B">
      <w:pPr>
        <w:rPr>
          <w:b/>
          <w:bCs/>
        </w:rPr>
      </w:pPr>
      <w:r w:rsidRPr="0061386B">
        <w:rPr>
          <w:b/>
          <w:bCs/>
        </w:rPr>
        <w:t>Documentation &amp; Recordkeeping</w:t>
      </w:r>
    </w:p>
    <w:p w14:paraId="7B70644A" w14:textId="77777777" w:rsidR="0061386B" w:rsidRPr="0061386B" w:rsidRDefault="0061386B" w:rsidP="0061386B">
      <w:pPr>
        <w:numPr>
          <w:ilvl w:val="0"/>
          <w:numId w:val="22"/>
        </w:numPr>
        <w:tabs>
          <w:tab w:val="num" w:pos="720"/>
        </w:tabs>
      </w:pPr>
      <w:r w:rsidRPr="0061386B">
        <w:t>Client-level trust ledgers are incomplete or missing.</w:t>
      </w:r>
    </w:p>
    <w:p w14:paraId="21C46DA3" w14:textId="77777777" w:rsidR="0061386B" w:rsidRPr="0061386B" w:rsidRDefault="0061386B" w:rsidP="0061386B">
      <w:pPr>
        <w:numPr>
          <w:ilvl w:val="0"/>
          <w:numId w:val="22"/>
        </w:numPr>
        <w:tabs>
          <w:tab w:val="num" w:pos="720"/>
        </w:tabs>
      </w:pPr>
      <w:r w:rsidRPr="0061386B">
        <w:lastRenderedPageBreak/>
        <w:t>Disbursements lack supporting documentation.</w:t>
      </w:r>
    </w:p>
    <w:p w14:paraId="07AEB858" w14:textId="77777777" w:rsidR="0061386B" w:rsidRPr="0061386B" w:rsidRDefault="0061386B" w:rsidP="0061386B">
      <w:pPr>
        <w:numPr>
          <w:ilvl w:val="0"/>
          <w:numId w:val="22"/>
        </w:numPr>
        <w:tabs>
          <w:tab w:val="num" w:pos="720"/>
        </w:tabs>
      </w:pPr>
      <w:r w:rsidRPr="0061386B">
        <w:t>Deposits are not tied to specific clients or matters.</w:t>
      </w:r>
    </w:p>
    <w:p w14:paraId="54E2CF4D" w14:textId="77777777" w:rsidR="0061386B" w:rsidRPr="0061386B" w:rsidRDefault="0061386B" w:rsidP="0061386B">
      <w:pPr>
        <w:numPr>
          <w:ilvl w:val="0"/>
          <w:numId w:val="22"/>
        </w:numPr>
        <w:tabs>
          <w:tab w:val="num" w:pos="720"/>
        </w:tabs>
      </w:pPr>
      <w:r w:rsidRPr="0061386B">
        <w:t>There is no standardized process for documenting settlement statements.</w:t>
      </w:r>
    </w:p>
    <w:p w14:paraId="1C3793D1" w14:textId="77777777" w:rsidR="0061386B" w:rsidRPr="0061386B" w:rsidRDefault="0061386B" w:rsidP="0061386B">
      <w:pPr>
        <w:numPr>
          <w:ilvl w:val="0"/>
          <w:numId w:val="22"/>
        </w:numPr>
        <w:tabs>
          <w:tab w:val="num" w:pos="720"/>
        </w:tabs>
      </w:pPr>
      <w:r w:rsidRPr="0061386B">
        <w:t xml:space="preserve">Trust </w:t>
      </w:r>
      <w:proofErr w:type="gramStart"/>
      <w:r w:rsidRPr="0061386B">
        <w:t>account</w:t>
      </w:r>
      <w:proofErr w:type="gramEnd"/>
      <w:r w:rsidRPr="0061386B">
        <w:t xml:space="preserve"> activity is not retained for the required regulatory period.</w:t>
      </w:r>
    </w:p>
    <w:p w14:paraId="1B2E8069" w14:textId="77777777" w:rsidR="0061386B" w:rsidRPr="0061386B" w:rsidRDefault="0061386B" w:rsidP="0061386B">
      <w:r w:rsidRPr="0061386B">
        <w:pict w14:anchorId="037CCBD6">
          <v:rect id="_x0000_i1071" style="width:0;height:1.5pt" o:hralign="center" o:hrstd="t" o:hr="t" fillcolor="#a0a0a0" stroked="f"/>
        </w:pict>
      </w:r>
    </w:p>
    <w:p w14:paraId="6200FA8F" w14:textId="77777777" w:rsidR="0061386B" w:rsidRPr="0061386B" w:rsidRDefault="0061386B" w:rsidP="0061386B">
      <w:pPr>
        <w:rPr>
          <w:b/>
          <w:bCs/>
        </w:rPr>
      </w:pPr>
      <w:r w:rsidRPr="0061386B">
        <w:rPr>
          <w:b/>
          <w:bCs/>
        </w:rPr>
        <w:t>Internal Controls</w:t>
      </w:r>
    </w:p>
    <w:p w14:paraId="5A99258D" w14:textId="77777777" w:rsidR="0061386B" w:rsidRPr="0061386B" w:rsidRDefault="0061386B" w:rsidP="0061386B">
      <w:pPr>
        <w:numPr>
          <w:ilvl w:val="0"/>
          <w:numId w:val="22"/>
        </w:numPr>
        <w:tabs>
          <w:tab w:val="num" w:pos="720"/>
        </w:tabs>
      </w:pPr>
      <w:r w:rsidRPr="0061386B">
        <w:t>One person controls deposits, disbursements, and reconciliations.</w:t>
      </w:r>
    </w:p>
    <w:p w14:paraId="404277C0" w14:textId="77777777" w:rsidR="0061386B" w:rsidRPr="0061386B" w:rsidRDefault="0061386B" w:rsidP="0061386B">
      <w:pPr>
        <w:numPr>
          <w:ilvl w:val="0"/>
          <w:numId w:val="22"/>
        </w:numPr>
        <w:tabs>
          <w:tab w:val="num" w:pos="720"/>
        </w:tabs>
      </w:pPr>
      <w:r w:rsidRPr="0061386B">
        <w:t>Checks can be issued without partner approval.</w:t>
      </w:r>
    </w:p>
    <w:p w14:paraId="50F8DF4F" w14:textId="77777777" w:rsidR="0061386B" w:rsidRPr="0061386B" w:rsidRDefault="0061386B" w:rsidP="0061386B">
      <w:pPr>
        <w:numPr>
          <w:ilvl w:val="0"/>
          <w:numId w:val="22"/>
        </w:numPr>
        <w:tabs>
          <w:tab w:val="num" w:pos="720"/>
        </w:tabs>
      </w:pPr>
      <w:r w:rsidRPr="0061386B">
        <w:t>Electronic transfers are not subject to dual authorization.</w:t>
      </w:r>
    </w:p>
    <w:p w14:paraId="769BBC60" w14:textId="77777777" w:rsidR="0061386B" w:rsidRPr="0061386B" w:rsidRDefault="0061386B" w:rsidP="0061386B">
      <w:pPr>
        <w:numPr>
          <w:ilvl w:val="0"/>
          <w:numId w:val="22"/>
        </w:numPr>
        <w:tabs>
          <w:tab w:val="num" w:pos="720"/>
        </w:tabs>
      </w:pPr>
      <w:r w:rsidRPr="0061386B">
        <w:t>User access to accounting software is not restricted by role.</w:t>
      </w:r>
    </w:p>
    <w:p w14:paraId="4F96B78B" w14:textId="77777777" w:rsidR="0061386B" w:rsidRPr="0061386B" w:rsidRDefault="0061386B" w:rsidP="0061386B">
      <w:pPr>
        <w:numPr>
          <w:ilvl w:val="0"/>
          <w:numId w:val="22"/>
        </w:numPr>
        <w:tabs>
          <w:tab w:val="num" w:pos="720"/>
        </w:tabs>
      </w:pPr>
      <w:r w:rsidRPr="0061386B">
        <w:t>Changes to vendor or client information do not require approval.</w:t>
      </w:r>
    </w:p>
    <w:p w14:paraId="640C3552" w14:textId="77777777" w:rsidR="0061386B" w:rsidRPr="0061386B" w:rsidRDefault="0061386B" w:rsidP="0061386B">
      <w:r w:rsidRPr="0061386B">
        <w:pict w14:anchorId="65A485A4">
          <v:rect id="_x0000_i1072" style="width:0;height:1.5pt" o:hralign="center" o:hrstd="t" o:hr="t" fillcolor="#a0a0a0" stroked="f"/>
        </w:pict>
      </w:r>
    </w:p>
    <w:p w14:paraId="43668539" w14:textId="77777777" w:rsidR="0061386B" w:rsidRPr="0061386B" w:rsidRDefault="0061386B" w:rsidP="0061386B">
      <w:pPr>
        <w:rPr>
          <w:b/>
          <w:bCs/>
        </w:rPr>
      </w:pPr>
      <w:r w:rsidRPr="0061386B">
        <w:rPr>
          <w:b/>
          <w:bCs/>
        </w:rPr>
        <w:t>Interpretation</w:t>
      </w:r>
    </w:p>
    <w:p w14:paraId="4F11ADE7" w14:textId="77777777" w:rsidR="0061386B" w:rsidRPr="0061386B" w:rsidRDefault="0061386B" w:rsidP="0061386B">
      <w:pPr>
        <w:numPr>
          <w:ilvl w:val="0"/>
          <w:numId w:val="21"/>
        </w:numPr>
      </w:pPr>
      <w:r w:rsidRPr="0061386B">
        <w:rPr>
          <w:b/>
          <w:bCs/>
        </w:rPr>
        <w:t>0–3 Red Flags:</w:t>
      </w:r>
      <w:r w:rsidRPr="0061386B">
        <w:t xml:space="preserve"> Low exposure. Systems appear stable but should be reviewed annually.</w:t>
      </w:r>
    </w:p>
    <w:p w14:paraId="74495AB8" w14:textId="77777777" w:rsidR="0061386B" w:rsidRPr="0061386B" w:rsidRDefault="0061386B" w:rsidP="0061386B">
      <w:pPr>
        <w:numPr>
          <w:ilvl w:val="0"/>
          <w:numId w:val="21"/>
        </w:numPr>
      </w:pPr>
      <w:r w:rsidRPr="0061386B">
        <w:rPr>
          <w:b/>
          <w:bCs/>
        </w:rPr>
        <w:t>4–6 Red Flags:</w:t>
      </w:r>
      <w:r w:rsidRPr="0061386B">
        <w:t xml:space="preserve"> Moderate exposure. Controls are inconsistent and may lead to compliance issues.</w:t>
      </w:r>
    </w:p>
    <w:p w14:paraId="3D2A42F3" w14:textId="77777777" w:rsidR="0061386B" w:rsidRPr="0061386B" w:rsidRDefault="0061386B" w:rsidP="0061386B">
      <w:pPr>
        <w:numPr>
          <w:ilvl w:val="0"/>
          <w:numId w:val="21"/>
        </w:numPr>
      </w:pPr>
      <w:r w:rsidRPr="0061386B">
        <w:rPr>
          <w:b/>
          <w:bCs/>
        </w:rPr>
        <w:t>7+ Red Flags:</w:t>
      </w:r>
      <w:r w:rsidRPr="0061386B">
        <w:t xml:space="preserve"> High disciplinary risk. Immediate remediation is recommended.</w:t>
      </w:r>
    </w:p>
    <w:p w14:paraId="195732BB" w14:textId="77777777" w:rsidR="0061386B" w:rsidRPr="0061386B" w:rsidRDefault="0061386B" w:rsidP="0061386B">
      <w:r w:rsidRPr="0061386B">
        <w:pict w14:anchorId="73A7C78E">
          <v:rect id="_x0000_i1073" style="width:0;height:1.5pt" o:hralign="center" o:hrstd="t" o:hr="t" fillcolor="#a0a0a0" stroked="f"/>
        </w:pict>
      </w:r>
    </w:p>
    <w:p w14:paraId="4141EA3A" w14:textId="77777777" w:rsidR="0061386B" w:rsidRPr="0061386B" w:rsidRDefault="0061386B" w:rsidP="0061386B">
      <w:pPr>
        <w:rPr>
          <w:b/>
          <w:bCs/>
        </w:rPr>
      </w:pPr>
      <w:r w:rsidRPr="0061386B">
        <w:rPr>
          <w:b/>
          <w:bCs/>
        </w:rPr>
        <w:t>Next Steps</w:t>
      </w:r>
    </w:p>
    <w:p w14:paraId="18C3990D" w14:textId="77777777" w:rsidR="0061386B" w:rsidRPr="0061386B" w:rsidRDefault="0061386B" w:rsidP="0061386B">
      <w:r w:rsidRPr="0061386B">
        <w:t xml:space="preserve">If you </w:t>
      </w:r>
      <w:proofErr w:type="gramStart"/>
      <w:r w:rsidRPr="0061386B">
        <w:t>identified</w:t>
      </w:r>
      <w:proofErr w:type="gramEnd"/>
      <w:r w:rsidRPr="0061386B">
        <w:t xml:space="preserve"> more than three red flags, consider scheduling a 30-minute Trust Accounting Review. During this session, we will walk through your checklist results, identify areas of exposure, and outline a 90-day remediation plan tailored to your firm.</w:t>
      </w:r>
    </w:p>
    <w:p w14:paraId="22D3435E" w14:textId="77777777" w:rsidR="0061386B" w:rsidRPr="0061386B" w:rsidRDefault="0061386B" w:rsidP="0061386B">
      <w:r w:rsidRPr="0061386B">
        <w:t xml:space="preserve">To schedule your review, contact </w:t>
      </w:r>
      <w:r w:rsidRPr="0061386B">
        <w:rPr>
          <w:b/>
          <w:bCs/>
        </w:rPr>
        <w:t>info@penniescount.com</w:t>
      </w:r>
      <w:r w:rsidRPr="0061386B">
        <w:t xml:space="preserve"> or visit your scheduling link.</w:t>
      </w:r>
    </w:p>
    <w:p w14:paraId="0FD6F9E2" w14:textId="77777777" w:rsidR="005037F7" w:rsidRDefault="005037F7"/>
    <w:sectPr w:rsidR="00503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7F0"/>
    <w:multiLevelType w:val="multilevel"/>
    <w:tmpl w:val="AF0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782"/>
    <w:multiLevelType w:val="multilevel"/>
    <w:tmpl w:val="F138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4BD5"/>
    <w:multiLevelType w:val="multilevel"/>
    <w:tmpl w:val="E242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B3D16"/>
    <w:multiLevelType w:val="multilevel"/>
    <w:tmpl w:val="628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12971"/>
    <w:multiLevelType w:val="multilevel"/>
    <w:tmpl w:val="17F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37921"/>
    <w:multiLevelType w:val="multilevel"/>
    <w:tmpl w:val="8B2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15B17"/>
    <w:multiLevelType w:val="multilevel"/>
    <w:tmpl w:val="A768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7CA7"/>
    <w:multiLevelType w:val="multilevel"/>
    <w:tmpl w:val="D8A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A6CA7"/>
    <w:multiLevelType w:val="multilevel"/>
    <w:tmpl w:val="FE0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82531"/>
    <w:multiLevelType w:val="multilevel"/>
    <w:tmpl w:val="163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04698"/>
    <w:multiLevelType w:val="multilevel"/>
    <w:tmpl w:val="EF36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429A3"/>
    <w:multiLevelType w:val="multilevel"/>
    <w:tmpl w:val="FC1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50B94"/>
    <w:multiLevelType w:val="multilevel"/>
    <w:tmpl w:val="B15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D7FD8"/>
    <w:multiLevelType w:val="multilevel"/>
    <w:tmpl w:val="C870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E007A"/>
    <w:multiLevelType w:val="multilevel"/>
    <w:tmpl w:val="E2E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E0F2C"/>
    <w:multiLevelType w:val="multilevel"/>
    <w:tmpl w:val="815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43D7"/>
    <w:multiLevelType w:val="multilevel"/>
    <w:tmpl w:val="8F6E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73E53"/>
    <w:multiLevelType w:val="multilevel"/>
    <w:tmpl w:val="57B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66F22"/>
    <w:multiLevelType w:val="multilevel"/>
    <w:tmpl w:val="67D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451A3"/>
    <w:multiLevelType w:val="multilevel"/>
    <w:tmpl w:val="2F2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46859"/>
    <w:multiLevelType w:val="hybridMultilevel"/>
    <w:tmpl w:val="B31CDB1C"/>
    <w:lvl w:ilvl="0" w:tplc="F0DCBD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B6637"/>
    <w:multiLevelType w:val="multilevel"/>
    <w:tmpl w:val="3AAE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260848">
    <w:abstractNumId w:val="19"/>
  </w:num>
  <w:num w:numId="2" w16cid:durableId="938489757">
    <w:abstractNumId w:val="11"/>
  </w:num>
  <w:num w:numId="3" w16cid:durableId="145513989">
    <w:abstractNumId w:val="7"/>
  </w:num>
  <w:num w:numId="4" w16cid:durableId="584143831">
    <w:abstractNumId w:val="9"/>
  </w:num>
  <w:num w:numId="5" w16cid:durableId="476649519">
    <w:abstractNumId w:val="5"/>
  </w:num>
  <w:num w:numId="6" w16cid:durableId="1151482657">
    <w:abstractNumId w:val="21"/>
  </w:num>
  <w:num w:numId="7" w16cid:durableId="1952010797">
    <w:abstractNumId w:val="2"/>
  </w:num>
  <w:num w:numId="8" w16cid:durableId="76562193">
    <w:abstractNumId w:val="15"/>
  </w:num>
  <w:num w:numId="9" w16cid:durableId="52433547">
    <w:abstractNumId w:val="12"/>
  </w:num>
  <w:num w:numId="10" w16cid:durableId="1187794161">
    <w:abstractNumId w:val="3"/>
  </w:num>
  <w:num w:numId="11" w16cid:durableId="263347550">
    <w:abstractNumId w:val="0"/>
  </w:num>
  <w:num w:numId="12" w16cid:durableId="1002392651">
    <w:abstractNumId w:val="6"/>
  </w:num>
  <w:num w:numId="13" w16cid:durableId="996223970">
    <w:abstractNumId w:val="4"/>
  </w:num>
  <w:num w:numId="14" w16cid:durableId="55784646">
    <w:abstractNumId w:val="8"/>
  </w:num>
  <w:num w:numId="15" w16cid:durableId="1633050801">
    <w:abstractNumId w:val="18"/>
  </w:num>
  <w:num w:numId="16" w16cid:durableId="1879276850">
    <w:abstractNumId w:val="13"/>
  </w:num>
  <w:num w:numId="17" w16cid:durableId="1065302580">
    <w:abstractNumId w:val="14"/>
  </w:num>
  <w:num w:numId="18" w16cid:durableId="429012987">
    <w:abstractNumId w:val="1"/>
  </w:num>
  <w:num w:numId="19" w16cid:durableId="658000218">
    <w:abstractNumId w:val="17"/>
  </w:num>
  <w:num w:numId="20" w16cid:durableId="1026638713">
    <w:abstractNumId w:val="10"/>
  </w:num>
  <w:num w:numId="21" w16cid:durableId="2075394125">
    <w:abstractNumId w:val="16"/>
  </w:num>
  <w:num w:numId="22" w16cid:durableId="2127649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6B"/>
    <w:rsid w:val="000B2E5F"/>
    <w:rsid w:val="005037F7"/>
    <w:rsid w:val="0061386B"/>
    <w:rsid w:val="00D5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AB76"/>
  <w15:chartTrackingRefBased/>
  <w15:docId w15:val="{26FDFFA9-F953-4D3F-87EA-19C9CCBE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86B"/>
    <w:rPr>
      <w:rFonts w:eastAsiaTheme="majorEastAsia" w:cstheme="majorBidi"/>
      <w:color w:val="272727" w:themeColor="text1" w:themeTint="D8"/>
    </w:rPr>
  </w:style>
  <w:style w:type="paragraph" w:styleId="Title">
    <w:name w:val="Title"/>
    <w:basedOn w:val="Normal"/>
    <w:next w:val="Normal"/>
    <w:link w:val="TitleChar"/>
    <w:uiPriority w:val="10"/>
    <w:qFormat/>
    <w:rsid w:val="0061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86B"/>
    <w:pPr>
      <w:spacing w:before="160"/>
      <w:jc w:val="center"/>
    </w:pPr>
    <w:rPr>
      <w:i/>
      <w:iCs/>
      <w:color w:val="404040" w:themeColor="text1" w:themeTint="BF"/>
    </w:rPr>
  </w:style>
  <w:style w:type="character" w:customStyle="1" w:styleId="QuoteChar">
    <w:name w:val="Quote Char"/>
    <w:basedOn w:val="DefaultParagraphFont"/>
    <w:link w:val="Quote"/>
    <w:uiPriority w:val="29"/>
    <w:rsid w:val="0061386B"/>
    <w:rPr>
      <w:i/>
      <w:iCs/>
      <w:color w:val="404040" w:themeColor="text1" w:themeTint="BF"/>
    </w:rPr>
  </w:style>
  <w:style w:type="paragraph" w:styleId="ListParagraph">
    <w:name w:val="List Paragraph"/>
    <w:basedOn w:val="Normal"/>
    <w:uiPriority w:val="34"/>
    <w:qFormat/>
    <w:rsid w:val="0061386B"/>
    <w:pPr>
      <w:ind w:left="720"/>
      <w:contextualSpacing/>
    </w:pPr>
  </w:style>
  <w:style w:type="character" w:styleId="IntenseEmphasis">
    <w:name w:val="Intense Emphasis"/>
    <w:basedOn w:val="DefaultParagraphFont"/>
    <w:uiPriority w:val="21"/>
    <w:qFormat/>
    <w:rsid w:val="0061386B"/>
    <w:rPr>
      <w:i/>
      <w:iCs/>
      <w:color w:val="0F4761" w:themeColor="accent1" w:themeShade="BF"/>
    </w:rPr>
  </w:style>
  <w:style w:type="paragraph" w:styleId="IntenseQuote">
    <w:name w:val="Intense Quote"/>
    <w:basedOn w:val="Normal"/>
    <w:next w:val="Normal"/>
    <w:link w:val="IntenseQuoteChar"/>
    <w:uiPriority w:val="30"/>
    <w:qFormat/>
    <w:rsid w:val="0061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86B"/>
    <w:rPr>
      <w:i/>
      <w:iCs/>
      <w:color w:val="0F4761" w:themeColor="accent1" w:themeShade="BF"/>
    </w:rPr>
  </w:style>
  <w:style w:type="character" w:styleId="IntenseReference">
    <w:name w:val="Intense Reference"/>
    <w:basedOn w:val="DefaultParagraphFont"/>
    <w:uiPriority w:val="32"/>
    <w:qFormat/>
    <w:rsid w:val="00613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upenda danridge</dc:creator>
  <cp:keywords/>
  <dc:description/>
  <cp:lastModifiedBy>upenda danridge</cp:lastModifiedBy>
  <cp:revision>1</cp:revision>
  <dcterms:created xsi:type="dcterms:W3CDTF">2026-03-03T22:52:00Z</dcterms:created>
  <dcterms:modified xsi:type="dcterms:W3CDTF">2026-03-03T23:24:00Z</dcterms:modified>
</cp:coreProperties>
</file>